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ascii="仿宋_GB2312" w:eastAsia="仿宋_GB2312" w:cs="仿宋_GB2312"/>
          <w:i w:val="0"/>
          <w:caps w:val="0"/>
          <w:color w:val="484848"/>
          <w:spacing w:val="0"/>
          <w:sz w:val="32"/>
          <w:szCs w:val="32"/>
          <w:u w:val="none"/>
        </w:rPr>
      </w:pPr>
      <w:r>
        <w:rPr>
          <w:rStyle w:val="4"/>
          <w:rFonts w:ascii="微软雅黑" w:hAnsi="微软雅黑" w:eastAsia="微软雅黑" w:cs="微软雅黑"/>
          <w:i w:val="0"/>
          <w:caps w:val="0"/>
          <w:color w:val="484848"/>
          <w:spacing w:val="0"/>
          <w:sz w:val="44"/>
          <w:szCs w:val="44"/>
          <w:u w:val="none"/>
          <w:bdr w:val="none" w:color="auto" w:sz="0" w:space="0"/>
        </w:rPr>
        <w:t>表1 人工流产后避孕服务内容及流程</w:t>
      </w:r>
    </w:p>
    <w:tbl>
      <w:tblPr>
        <w:tblW w:w="10020" w:type="dxa"/>
        <w:jc w:val="center"/>
        <w:tblInd w:w="-749" w:type="dxa"/>
        <w:shd w:val="clear"/>
        <w:tblLayout w:type="fixed"/>
        <w:tblCellMar>
          <w:top w:w="0" w:type="dxa"/>
          <w:left w:w="0" w:type="dxa"/>
          <w:bottom w:w="0" w:type="dxa"/>
          <w:right w:w="0" w:type="dxa"/>
        </w:tblCellMar>
      </w:tblPr>
      <w:tblGrid>
        <w:gridCol w:w="563"/>
        <w:gridCol w:w="923"/>
        <w:gridCol w:w="1486"/>
        <w:gridCol w:w="1334"/>
        <w:gridCol w:w="5714"/>
      </w:tblGrid>
      <w:tr>
        <w:tblPrEx>
          <w:shd w:val="clear"/>
          <w:tblLayout w:type="fixed"/>
          <w:tblCellMar>
            <w:top w:w="0" w:type="dxa"/>
            <w:left w:w="0" w:type="dxa"/>
            <w:bottom w:w="0" w:type="dxa"/>
            <w:right w:w="0" w:type="dxa"/>
          </w:tblCellMar>
        </w:tblPrEx>
        <w:trPr>
          <w:trHeight w:val="476" w:hRule="atLeast"/>
          <w:jc w:val="center"/>
        </w:trPr>
        <w:tc>
          <w:tcPr>
            <w:tcW w:w="1486"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cs="Calibri"/>
                <w:color w:val="484848"/>
                <w:sz w:val="21"/>
                <w:szCs w:val="21"/>
                <w:u w:val="none"/>
              </w:rPr>
            </w:pPr>
            <w:r>
              <w:rPr>
                <w:rFonts w:hint="default" w:ascii="仿宋_GB2312" w:hAnsi="微软雅黑" w:eastAsia="仿宋_GB2312" w:cs="仿宋_GB2312"/>
                <w:b/>
                <w:color w:val="484848"/>
                <w:sz w:val="21"/>
                <w:szCs w:val="21"/>
                <w:u w:val="none"/>
                <w:bdr w:val="none" w:color="auto" w:sz="0" w:space="0"/>
              </w:rPr>
              <w:t>时 间</w:t>
            </w:r>
          </w:p>
        </w:tc>
        <w:tc>
          <w:tcPr>
            <w:tcW w:w="148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color w:val="484848"/>
                <w:sz w:val="21"/>
                <w:szCs w:val="21"/>
                <w:u w:val="none"/>
              </w:rPr>
            </w:pPr>
            <w:r>
              <w:rPr>
                <w:rFonts w:hint="default" w:ascii="仿宋_GB2312" w:hAnsi="微软雅黑" w:eastAsia="仿宋_GB2312" w:cs="仿宋_GB2312"/>
                <w:b/>
                <w:color w:val="484848"/>
                <w:sz w:val="21"/>
                <w:szCs w:val="21"/>
                <w:u w:val="none"/>
                <w:bdr w:val="none" w:color="auto" w:sz="0" w:space="0"/>
              </w:rPr>
              <w:t>地 点</w:t>
            </w:r>
          </w:p>
        </w:tc>
        <w:tc>
          <w:tcPr>
            <w:tcW w:w="1334"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color w:val="484848"/>
                <w:sz w:val="21"/>
                <w:szCs w:val="21"/>
                <w:u w:val="none"/>
              </w:rPr>
            </w:pPr>
            <w:r>
              <w:rPr>
                <w:rFonts w:hint="default" w:ascii="仿宋_GB2312" w:hAnsi="微软雅黑" w:eastAsia="仿宋_GB2312" w:cs="仿宋_GB2312"/>
                <w:b/>
                <w:color w:val="484848"/>
                <w:sz w:val="21"/>
                <w:szCs w:val="21"/>
                <w:u w:val="none"/>
                <w:bdr w:val="none" w:color="auto" w:sz="0" w:space="0"/>
              </w:rPr>
              <w:t>形 式</w:t>
            </w:r>
          </w:p>
        </w:tc>
        <w:tc>
          <w:tcPr>
            <w:tcW w:w="5714"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color w:val="484848"/>
                <w:sz w:val="21"/>
                <w:szCs w:val="21"/>
                <w:u w:val="none"/>
              </w:rPr>
            </w:pPr>
            <w:r>
              <w:rPr>
                <w:rFonts w:hint="default" w:ascii="仿宋_GB2312" w:hAnsi="微软雅黑" w:eastAsia="仿宋_GB2312" w:cs="仿宋_GB2312"/>
                <w:b/>
                <w:color w:val="484848"/>
                <w:sz w:val="21"/>
                <w:szCs w:val="21"/>
                <w:u w:val="none"/>
                <w:bdr w:val="none" w:color="auto" w:sz="0" w:space="0"/>
              </w:rPr>
              <w:t>内</w:t>
            </w:r>
            <w:r>
              <w:rPr>
                <w:rFonts w:hint="default" w:ascii="Times New Roman" w:hAnsi="Times New Roman" w:eastAsia="微软雅黑" w:cs="Times New Roman"/>
                <w:b/>
                <w:color w:val="484848"/>
                <w:sz w:val="21"/>
                <w:szCs w:val="21"/>
                <w:u w:val="none"/>
                <w:bdr w:val="none" w:color="auto" w:sz="0" w:space="0"/>
              </w:rPr>
              <w:t> </w:t>
            </w:r>
            <w:r>
              <w:rPr>
                <w:rFonts w:hint="default" w:ascii="仿宋_GB2312" w:hAnsi="微软雅黑" w:eastAsia="仿宋_GB2312" w:cs="仿宋_GB2312"/>
                <w:b/>
                <w:color w:val="484848"/>
                <w:sz w:val="21"/>
                <w:szCs w:val="21"/>
                <w:u w:val="none"/>
                <w:bdr w:val="none" w:color="auto" w:sz="0" w:space="0"/>
              </w:rPr>
              <w:t> 容</w:t>
            </w:r>
          </w:p>
        </w:tc>
      </w:tr>
      <w:tr>
        <w:tblPrEx>
          <w:tblLayout w:type="fixed"/>
          <w:tblCellMar>
            <w:top w:w="0" w:type="dxa"/>
            <w:left w:w="0" w:type="dxa"/>
            <w:bottom w:w="0" w:type="dxa"/>
            <w:right w:w="0" w:type="dxa"/>
          </w:tblCellMar>
        </w:tblPrEx>
        <w:trPr>
          <w:jc w:val="center"/>
        </w:trPr>
        <w:tc>
          <w:tcPr>
            <w:tcW w:w="1486" w:type="dxa"/>
            <w:gridSpan w:val="2"/>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color w:val="484848"/>
                <w:sz w:val="21"/>
                <w:szCs w:val="21"/>
                <w:u w:val="none"/>
              </w:rPr>
            </w:pPr>
            <w:r>
              <w:rPr>
                <w:rFonts w:hint="default" w:ascii="仿宋_GB2312" w:hAnsi="Calibri" w:eastAsia="仿宋_GB2312" w:cs="仿宋_GB2312"/>
                <w:color w:val="484848"/>
                <w:sz w:val="24"/>
                <w:szCs w:val="24"/>
                <w:u w:val="none"/>
                <w:bdr w:val="none" w:color="auto" w:sz="0" w:space="0"/>
              </w:rPr>
              <w:t>术前初诊</w:t>
            </w:r>
          </w:p>
        </w:tc>
        <w:tc>
          <w:tcPr>
            <w:tcW w:w="148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color w:val="484848"/>
                <w:sz w:val="21"/>
                <w:szCs w:val="21"/>
                <w:u w:val="none"/>
              </w:rPr>
            </w:pPr>
            <w:r>
              <w:rPr>
                <w:rFonts w:hint="default" w:ascii="仿宋_GB2312" w:hAnsi="Calibri" w:eastAsia="仿宋_GB2312" w:cs="仿宋_GB2312"/>
                <w:color w:val="484848"/>
                <w:sz w:val="21"/>
                <w:szCs w:val="21"/>
                <w:u w:val="none"/>
                <w:bdr w:val="none" w:color="auto" w:sz="0" w:space="0"/>
              </w:rPr>
              <w:t>候诊区</w:t>
            </w:r>
          </w:p>
        </w:tc>
        <w:tc>
          <w:tcPr>
            <w:tcW w:w="133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color w:val="484848"/>
                <w:sz w:val="21"/>
                <w:szCs w:val="21"/>
                <w:u w:val="none"/>
              </w:rPr>
            </w:pPr>
            <w:r>
              <w:rPr>
                <w:rFonts w:hint="default" w:ascii="仿宋_GB2312" w:hAnsi="Calibri" w:eastAsia="仿宋_GB2312" w:cs="仿宋_GB2312"/>
                <w:color w:val="484848"/>
                <w:sz w:val="21"/>
                <w:szCs w:val="21"/>
                <w:u w:val="none"/>
                <w:bdr w:val="none" w:color="auto" w:sz="0" w:space="0"/>
              </w:rPr>
              <w:t>宣传教育</w:t>
            </w:r>
          </w:p>
        </w:tc>
        <w:tc>
          <w:tcPr>
            <w:tcW w:w="5714"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color w:val="484848"/>
                <w:sz w:val="21"/>
                <w:szCs w:val="21"/>
                <w:u w:val="none"/>
              </w:rPr>
            </w:pPr>
            <w:r>
              <w:rPr>
                <w:rFonts w:hint="default" w:ascii="仿宋_GB2312" w:hAnsi="Calibri" w:eastAsia="仿宋_GB2312" w:cs="仿宋_GB2312"/>
                <w:color w:val="484848"/>
                <w:sz w:val="21"/>
                <w:szCs w:val="21"/>
                <w:u w:val="none"/>
                <w:bdr w:val="none" w:color="auto" w:sz="0" w:space="0"/>
              </w:rPr>
              <w:t>观看视频和展板，发放宣教资料，告知人工流产的危害和对生育能力造成的不良影响，人工流产后即时避孕的必要性，可选择的避孕方法，计划妊娠的重要性及相关知识。</w:t>
            </w:r>
          </w:p>
        </w:tc>
      </w:tr>
      <w:tr>
        <w:tblPrEx>
          <w:tblLayout w:type="fixed"/>
          <w:tblCellMar>
            <w:top w:w="0" w:type="dxa"/>
            <w:left w:w="0" w:type="dxa"/>
            <w:bottom w:w="0" w:type="dxa"/>
            <w:right w:w="0" w:type="dxa"/>
          </w:tblCellMar>
        </w:tblPrEx>
        <w:trPr>
          <w:trHeight w:val="204" w:hRule="atLeast"/>
          <w:jc w:val="center"/>
        </w:trPr>
        <w:tc>
          <w:tcPr>
            <w:tcW w:w="1486"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148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color w:val="484848"/>
                <w:sz w:val="21"/>
                <w:szCs w:val="21"/>
                <w:u w:val="none"/>
              </w:rPr>
            </w:pPr>
            <w:r>
              <w:rPr>
                <w:rFonts w:hint="default" w:ascii="仿宋_GB2312" w:hAnsi="Calibri" w:eastAsia="仿宋_GB2312" w:cs="仿宋_GB2312"/>
                <w:color w:val="484848"/>
                <w:sz w:val="21"/>
                <w:szCs w:val="21"/>
                <w:u w:val="none"/>
                <w:bdr w:val="none" w:color="auto" w:sz="0" w:space="0"/>
              </w:rPr>
              <w:t>诊室或咨询室</w:t>
            </w:r>
          </w:p>
        </w:tc>
        <w:tc>
          <w:tcPr>
            <w:tcW w:w="133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color w:val="484848"/>
                <w:sz w:val="21"/>
                <w:szCs w:val="21"/>
                <w:u w:val="none"/>
              </w:rPr>
            </w:pPr>
            <w:r>
              <w:rPr>
                <w:rFonts w:hint="default" w:ascii="仿宋_GB2312" w:hAnsi="Calibri" w:eastAsia="仿宋_GB2312" w:cs="仿宋_GB2312"/>
                <w:color w:val="484848"/>
                <w:sz w:val="21"/>
                <w:szCs w:val="21"/>
                <w:u w:val="none"/>
                <w:bdr w:val="none" w:color="auto" w:sz="0" w:space="0"/>
              </w:rPr>
              <w:t>一对一咨询</w:t>
            </w:r>
          </w:p>
        </w:tc>
        <w:tc>
          <w:tcPr>
            <w:tcW w:w="5714"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color w:val="484848"/>
                <w:sz w:val="21"/>
                <w:szCs w:val="21"/>
                <w:u w:val="none"/>
              </w:rPr>
            </w:pPr>
            <w:r>
              <w:rPr>
                <w:rFonts w:hint="default" w:ascii="仿宋_GB2312" w:hAnsi="Calibri" w:eastAsia="仿宋_GB2312" w:cs="仿宋_GB2312"/>
                <w:color w:val="484848"/>
                <w:sz w:val="21"/>
                <w:szCs w:val="21"/>
                <w:u w:val="none"/>
                <w:bdr w:val="none" w:color="auto" w:sz="0" w:space="0"/>
              </w:rPr>
              <w:t>确诊宫内妊娠，实施术前医学检查，确定人工流产及方式，讨论人工流产的危害，对女性健康和生育能力的损害，高危人流甚至危及生命。</w:t>
            </w:r>
            <w:bookmarkStart w:id="0" w:name="_GoBack"/>
            <w:bookmarkEnd w:id="0"/>
            <w:r>
              <w:rPr>
                <w:rFonts w:hint="default" w:ascii="仿宋_GB2312" w:hAnsi="Calibri" w:eastAsia="仿宋_GB2312" w:cs="仿宋_GB2312"/>
                <w:color w:val="484848"/>
                <w:sz w:val="21"/>
                <w:szCs w:val="21"/>
                <w:u w:val="none"/>
                <w:bdr w:val="none" w:color="auto" w:sz="0" w:space="0"/>
              </w:rPr>
              <w:t>预约流产时间</w:t>
            </w:r>
            <w:r>
              <w:rPr>
                <w:rFonts w:hint="eastAsia" w:ascii="微软雅黑" w:hAnsi="微软雅黑" w:eastAsia="微软雅黑" w:cs="微软雅黑"/>
                <w:color w:val="484848"/>
                <w:sz w:val="21"/>
                <w:szCs w:val="21"/>
                <w:u w:val="none"/>
                <w:bdr w:val="none" w:color="auto" w:sz="0" w:space="0"/>
              </w:rPr>
              <w:t>,</w:t>
            </w:r>
            <w:r>
              <w:rPr>
                <w:rFonts w:hint="default" w:ascii="仿宋_GB2312" w:hAnsi="Calibri" w:eastAsia="仿宋_GB2312" w:cs="仿宋_GB2312"/>
                <w:color w:val="484848"/>
                <w:sz w:val="21"/>
                <w:szCs w:val="21"/>
                <w:u w:val="none"/>
                <w:bdr w:val="none" w:color="auto" w:sz="0" w:space="0"/>
              </w:rPr>
              <w:t>讨论、选择、确定（开具处方）人工流产后即时落实的避孕方法，交代流产前后的注意事项。针对有生育计划者，提供计划妊娠知识和咨询指导。</w:t>
            </w:r>
          </w:p>
        </w:tc>
      </w:tr>
      <w:tr>
        <w:tblPrEx>
          <w:tblLayout w:type="fixed"/>
          <w:tblCellMar>
            <w:top w:w="0" w:type="dxa"/>
            <w:left w:w="0" w:type="dxa"/>
            <w:bottom w:w="0" w:type="dxa"/>
            <w:right w:w="0" w:type="dxa"/>
          </w:tblCellMar>
        </w:tblPrEx>
        <w:trPr>
          <w:jc w:val="center"/>
        </w:trPr>
        <w:tc>
          <w:tcPr>
            <w:tcW w:w="1486" w:type="dxa"/>
            <w:gridSpan w:val="2"/>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color w:val="484848"/>
                <w:sz w:val="21"/>
                <w:szCs w:val="21"/>
                <w:u w:val="none"/>
              </w:rPr>
            </w:pPr>
            <w:r>
              <w:rPr>
                <w:rFonts w:hint="default" w:ascii="仿宋_GB2312" w:hAnsi="Calibri" w:eastAsia="仿宋_GB2312" w:cs="仿宋_GB2312"/>
                <w:color w:val="484848"/>
                <w:sz w:val="24"/>
                <w:szCs w:val="24"/>
                <w:u w:val="none"/>
                <w:bdr w:val="none" w:color="auto" w:sz="0" w:space="0"/>
              </w:rPr>
              <w:t>手术当日</w:t>
            </w:r>
          </w:p>
        </w:tc>
        <w:tc>
          <w:tcPr>
            <w:tcW w:w="148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color w:val="484848"/>
                <w:sz w:val="21"/>
                <w:szCs w:val="21"/>
                <w:u w:val="none"/>
              </w:rPr>
            </w:pPr>
            <w:r>
              <w:rPr>
                <w:rFonts w:hint="default" w:ascii="仿宋_GB2312" w:hAnsi="Calibri" w:eastAsia="仿宋_GB2312" w:cs="仿宋_GB2312"/>
                <w:color w:val="484848"/>
                <w:sz w:val="21"/>
                <w:szCs w:val="21"/>
                <w:u w:val="none"/>
                <w:bdr w:val="none" w:color="auto" w:sz="0" w:space="0"/>
              </w:rPr>
              <w:t>候诊区</w:t>
            </w:r>
          </w:p>
        </w:tc>
        <w:tc>
          <w:tcPr>
            <w:tcW w:w="133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color w:val="484848"/>
                <w:sz w:val="21"/>
                <w:szCs w:val="21"/>
                <w:u w:val="none"/>
              </w:rPr>
            </w:pPr>
            <w:r>
              <w:rPr>
                <w:rFonts w:hint="default" w:ascii="仿宋_GB2312" w:hAnsi="Calibri" w:eastAsia="仿宋_GB2312" w:cs="仿宋_GB2312"/>
                <w:color w:val="484848"/>
                <w:sz w:val="21"/>
                <w:szCs w:val="21"/>
                <w:u w:val="none"/>
                <w:bdr w:val="none" w:color="auto" w:sz="0" w:space="0"/>
              </w:rPr>
              <w:t>宣传教育</w:t>
            </w:r>
          </w:p>
        </w:tc>
        <w:tc>
          <w:tcPr>
            <w:tcW w:w="5714"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color w:val="484848"/>
                <w:sz w:val="21"/>
                <w:szCs w:val="21"/>
                <w:u w:val="none"/>
              </w:rPr>
            </w:pPr>
            <w:r>
              <w:rPr>
                <w:rFonts w:hint="default" w:ascii="仿宋_GB2312" w:hAnsi="Calibri" w:eastAsia="仿宋_GB2312" w:cs="仿宋_GB2312"/>
                <w:color w:val="484848"/>
                <w:sz w:val="21"/>
                <w:szCs w:val="21"/>
                <w:u w:val="none"/>
                <w:bdr w:val="none" w:color="auto" w:sz="0" w:space="0"/>
              </w:rPr>
              <w:t>告知人工流产前、中、后的注意事项和要求（包括随访的日期和内容），可选择的避孕方法及如何使用。</w:t>
            </w:r>
          </w:p>
        </w:tc>
      </w:tr>
      <w:tr>
        <w:tblPrEx>
          <w:tblLayout w:type="fixed"/>
          <w:tblCellMar>
            <w:top w:w="0" w:type="dxa"/>
            <w:left w:w="0" w:type="dxa"/>
            <w:bottom w:w="0" w:type="dxa"/>
            <w:right w:w="0" w:type="dxa"/>
          </w:tblCellMar>
        </w:tblPrEx>
        <w:trPr>
          <w:jc w:val="center"/>
        </w:trPr>
        <w:tc>
          <w:tcPr>
            <w:tcW w:w="1486"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148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color w:val="484848"/>
                <w:sz w:val="21"/>
                <w:szCs w:val="21"/>
                <w:u w:val="none"/>
              </w:rPr>
            </w:pPr>
            <w:r>
              <w:rPr>
                <w:rFonts w:hint="default" w:ascii="仿宋_GB2312" w:hAnsi="Calibri" w:eastAsia="仿宋_GB2312" w:cs="仿宋_GB2312"/>
                <w:color w:val="484848"/>
                <w:sz w:val="21"/>
                <w:szCs w:val="21"/>
                <w:u w:val="none"/>
                <w:bdr w:val="none" w:color="auto" w:sz="0" w:space="0"/>
              </w:rPr>
              <w:t>人工流产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color w:val="484848"/>
                <w:sz w:val="21"/>
                <w:szCs w:val="21"/>
                <w:u w:val="none"/>
              </w:rPr>
            </w:pPr>
            <w:r>
              <w:rPr>
                <w:rFonts w:hint="default" w:ascii="仿宋_GB2312" w:hAnsi="Calibri" w:eastAsia="仿宋_GB2312" w:cs="仿宋_GB2312"/>
                <w:color w:val="484848"/>
                <w:sz w:val="21"/>
                <w:szCs w:val="21"/>
                <w:u w:val="none"/>
                <w:bdr w:val="none" w:color="auto" w:sz="0" w:space="0"/>
              </w:rPr>
              <w:t>手术室</w:t>
            </w:r>
          </w:p>
        </w:tc>
        <w:tc>
          <w:tcPr>
            <w:tcW w:w="133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color w:val="484848"/>
                <w:sz w:val="21"/>
                <w:szCs w:val="21"/>
                <w:u w:val="none"/>
              </w:rPr>
            </w:pPr>
            <w:r>
              <w:rPr>
                <w:rFonts w:hint="default" w:ascii="仿宋_GB2312" w:hAnsi="Calibri" w:eastAsia="仿宋_GB2312" w:cs="仿宋_GB2312"/>
                <w:color w:val="484848"/>
                <w:sz w:val="21"/>
                <w:szCs w:val="21"/>
                <w:u w:val="none"/>
                <w:bdr w:val="none" w:color="auto" w:sz="0" w:space="0"/>
              </w:rPr>
              <w:t>医疗服务</w:t>
            </w:r>
          </w:p>
        </w:tc>
        <w:tc>
          <w:tcPr>
            <w:tcW w:w="5714"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color w:val="484848"/>
                <w:sz w:val="21"/>
                <w:szCs w:val="21"/>
                <w:u w:val="none"/>
              </w:rPr>
            </w:pPr>
            <w:r>
              <w:rPr>
                <w:rFonts w:hint="default" w:ascii="仿宋_GB2312" w:hAnsi="Calibri" w:eastAsia="仿宋_GB2312" w:cs="仿宋_GB2312"/>
                <w:color w:val="484848"/>
                <w:sz w:val="21"/>
                <w:szCs w:val="21"/>
                <w:u w:val="none"/>
                <w:bdr w:val="none" w:color="auto" w:sz="0" w:space="0"/>
              </w:rPr>
              <w:t>实施人工流产手术，根据流产前的咨询结果，对选择宫内节育器或者皮下埋植剂的妇女排除禁忌证后即时放置。</w:t>
            </w:r>
          </w:p>
        </w:tc>
      </w:tr>
      <w:tr>
        <w:tblPrEx>
          <w:tblLayout w:type="fixed"/>
          <w:tblCellMar>
            <w:top w:w="0" w:type="dxa"/>
            <w:left w:w="0" w:type="dxa"/>
            <w:bottom w:w="0" w:type="dxa"/>
            <w:right w:w="0" w:type="dxa"/>
          </w:tblCellMar>
        </w:tblPrEx>
        <w:trPr>
          <w:jc w:val="center"/>
        </w:trPr>
        <w:tc>
          <w:tcPr>
            <w:tcW w:w="1486"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148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color w:val="484848"/>
                <w:sz w:val="21"/>
                <w:szCs w:val="21"/>
                <w:u w:val="none"/>
              </w:rPr>
            </w:pPr>
            <w:r>
              <w:rPr>
                <w:rFonts w:hint="default" w:ascii="仿宋_GB2312" w:hAnsi="Calibri" w:eastAsia="仿宋_GB2312" w:cs="仿宋_GB2312"/>
                <w:color w:val="484848"/>
                <w:sz w:val="21"/>
                <w:szCs w:val="21"/>
                <w:u w:val="none"/>
                <w:bdr w:val="none" w:color="auto" w:sz="0" w:space="0"/>
              </w:rPr>
              <w:t>术后休息室</w:t>
            </w:r>
          </w:p>
        </w:tc>
        <w:tc>
          <w:tcPr>
            <w:tcW w:w="133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color w:val="484848"/>
                <w:sz w:val="21"/>
                <w:szCs w:val="21"/>
                <w:u w:val="none"/>
              </w:rPr>
            </w:pPr>
            <w:r>
              <w:rPr>
                <w:rFonts w:hint="default" w:ascii="仿宋_GB2312" w:hAnsi="Calibri" w:eastAsia="仿宋_GB2312" w:cs="仿宋_GB2312"/>
                <w:color w:val="484848"/>
                <w:sz w:val="21"/>
                <w:szCs w:val="21"/>
                <w:u w:val="none"/>
                <w:bdr w:val="none" w:color="auto" w:sz="0" w:space="0"/>
              </w:rPr>
              <w:t>一对一咨询及免费避孕药具发放</w:t>
            </w:r>
          </w:p>
        </w:tc>
        <w:tc>
          <w:tcPr>
            <w:tcW w:w="5714"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color w:val="484848"/>
                <w:sz w:val="21"/>
                <w:szCs w:val="21"/>
                <w:u w:val="none"/>
              </w:rPr>
            </w:pPr>
            <w:r>
              <w:rPr>
                <w:rFonts w:hint="default" w:ascii="仿宋_GB2312" w:hAnsi="Calibri" w:eastAsia="仿宋_GB2312" w:cs="仿宋_GB2312"/>
                <w:color w:val="484848"/>
                <w:sz w:val="21"/>
                <w:szCs w:val="21"/>
                <w:u w:val="none"/>
                <w:bdr w:val="none" w:color="auto" w:sz="0" w:space="0"/>
              </w:rPr>
              <w:t>手术流产后或药物流产过程观察，告知人工流产后注意事项，对同时放置宫内节育或者皮下埋植剂的服务对象告知可能发生的副反应。对选择人工流产后使用长效避孕针、复方短效口服避孕药、避孕套和外用避孕药（膜剂、栓剂、凝胶）的妇女，再次讲解使用方法，提供避孕药具，强调必须坚持和正确使用。承担免费避孕药具发放服务的医疗机构，应当优先向服务对象提供免费避孕药具。对选择人工流产后使用长效可逆避孕方法或绝育术的妇女，告知适宜手术时机。对所有人工流产后的妇女预约下次随访日期，并告知需要及时返诊的征象。</w:t>
            </w:r>
          </w:p>
        </w:tc>
      </w:tr>
      <w:tr>
        <w:tblPrEx>
          <w:tblLayout w:type="fixed"/>
          <w:tblCellMar>
            <w:top w:w="0" w:type="dxa"/>
            <w:left w:w="0" w:type="dxa"/>
            <w:bottom w:w="0" w:type="dxa"/>
            <w:right w:w="0" w:type="dxa"/>
          </w:tblCellMar>
        </w:tblPrEx>
        <w:trPr>
          <w:jc w:val="center"/>
        </w:trPr>
        <w:tc>
          <w:tcPr>
            <w:tcW w:w="56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color w:val="484848"/>
                <w:sz w:val="21"/>
                <w:szCs w:val="21"/>
                <w:u w:val="none"/>
              </w:rPr>
            </w:pPr>
            <w:r>
              <w:rPr>
                <w:rFonts w:hint="default" w:ascii="仿宋_GB2312" w:hAnsi="Calibri" w:eastAsia="仿宋_GB2312" w:cs="仿宋_GB2312"/>
                <w:color w:val="484848"/>
                <w:sz w:val="24"/>
                <w:szCs w:val="24"/>
                <w:u w:val="none"/>
                <w:bdr w:val="none" w:color="auto" w:sz="0" w:space="0"/>
              </w:rPr>
              <w:t>术后随访</w:t>
            </w:r>
          </w:p>
        </w:tc>
        <w:tc>
          <w:tcPr>
            <w:tcW w:w="92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color w:val="484848"/>
                <w:sz w:val="21"/>
                <w:szCs w:val="21"/>
                <w:u w:val="none"/>
              </w:rPr>
            </w:pPr>
            <w:r>
              <w:rPr>
                <w:rFonts w:hint="default" w:ascii="仿宋_GB2312" w:hAnsi="Calibri" w:eastAsia="仿宋_GB2312" w:cs="仿宋_GB2312"/>
                <w:color w:val="484848"/>
                <w:sz w:val="24"/>
                <w:szCs w:val="24"/>
                <w:u w:val="none"/>
                <w:bdr w:val="none" w:color="auto" w:sz="0" w:space="0"/>
              </w:rPr>
              <w:t>1个月</w:t>
            </w:r>
          </w:p>
        </w:tc>
        <w:tc>
          <w:tcPr>
            <w:tcW w:w="148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color w:val="484848"/>
                <w:sz w:val="21"/>
                <w:szCs w:val="21"/>
                <w:u w:val="none"/>
              </w:rPr>
            </w:pPr>
            <w:r>
              <w:rPr>
                <w:rFonts w:hint="default" w:ascii="仿宋_GB2312" w:hAnsi="Calibri" w:eastAsia="仿宋_GB2312" w:cs="仿宋_GB2312"/>
                <w:color w:val="484848"/>
                <w:sz w:val="21"/>
                <w:szCs w:val="21"/>
                <w:u w:val="none"/>
                <w:bdr w:val="none" w:color="auto" w:sz="0" w:space="0"/>
              </w:rPr>
              <w:t>诊室或咨询室</w:t>
            </w:r>
          </w:p>
        </w:tc>
        <w:tc>
          <w:tcPr>
            <w:tcW w:w="133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color w:val="484848"/>
                <w:sz w:val="21"/>
                <w:szCs w:val="21"/>
                <w:u w:val="none"/>
              </w:rPr>
            </w:pPr>
            <w:r>
              <w:rPr>
                <w:rFonts w:hint="default" w:ascii="仿宋_GB2312" w:hAnsi="Calibri" w:eastAsia="仿宋_GB2312" w:cs="仿宋_GB2312"/>
                <w:color w:val="484848"/>
                <w:sz w:val="21"/>
                <w:szCs w:val="21"/>
                <w:u w:val="none"/>
                <w:bdr w:val="none" w:color="auto" w:sz="0" w:space="0"/>
              </w:rPr>
              <w:t>一对一咨询</w:t>
            </w:r>
          </w:p>
        </w:tc>
        <w:tc>
          <w:tcPr>
            <w:tcW w:w="5714"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color w:val="484848"/>
                <w:sz w:val="21"/>
                <w:szCs w:val="21"/>
                <w:u w:val="none"/>
              </w:rPr>
            </w:pPr>
            <w:r>
              <w:rPr>
                <w:rFonts w:hint="default" w:ascii="仿宋_GB2312" w:hAnsi="Calibri" w:eastAsia="仿宋_GB2312" w:cs="仿宋_GB2312"/>
                <w:color w:val="484848"/>
                <w:sz w:val="21"/>
                <w:szCs w:val="21"/>
                <w:u w:val="none"/>
                <w:bdr w:val="none" w:color="auto" w:sz="0" w:space="0"/>
              </w:rPr>
              <w:t>了解人工流产术后出血或月经恢复情况，结合临床或辅助检查评估流产结局。了解性生活恢复情况和避孕方法使用情况。鼓励坚持或转换高效和长效的避孕方法。需要时补充避孕药具。承担免费避孕药具发放服务的医疗机构，应当优先向服务对象提供免费避孕药具。</w:t>
            </w:r>
          </w:p>
        </w:tc>
      </w:tr>
      <w:tr>
        <w:tblPrEx>
          <w:tblLayout w:type="fixed"/>
          <w:tblCellMar>
            <w:top w:w="0" w:type="dxa"/>
            <w:left w:w="0" w:type="dxa"/>
            <w:bottom w:w="0" w:type="dxa"/>
            <w:right w:w="0" w:type="dxa"/>
          </w:tblCellMar>
        </w:tblPrEx>
        <w:trPr>
          <w:jc w:val="center"/>
        </w:trPr>
        <w:tc>
          <w:tcPr>
            <w:tcW w:w="56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92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color w:val="484848"/>
                <w:sz w:val="21"/>
                <w:szCs w:val="21"/>
                <w:u w:val="none"/>
              </w:rPr>
            </w:pPr>
            <w:r>
              <w:rPr>
                <w:rFonts w:hint="default" w:ascii="仿宋_GB2312" w:hAnsi="Calibri" w:eastAsia="仿宋_GB2312" w:cs="仿宋_GB2312"/>
                <w:color w:val="484848"/>
                <w:spacing w:val="-20"/>
                <w:sz w:val="24"/>
                <w:szCs w:val="24"/>
                <w:u w:val="none"/>
                <w:bdr w:val="none" w:color="auto" w:sz="0" w:space="0"/>
              </w:rPr>
              <w:t>3个月</w:t>
            </w:r>
          </w:p>
        </w:tc>
        <w:tc>
          <w:tcPr>
            <w:tcW w:w="148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color w:val="484848"/>
                <w:sz w:val="21"/>
                <w:szCs w:val="21"/>
                <w:u w:val="none"/>
              </w:rPr>
            </w:pPr>
            <w:r>
              <w:rPr>
                <w:rFonts w:hint="default" w:ascii="仿宋_GB2312" w:hAnsi="Calibri" w:eastAsia="仿宋_GB2312" w:cs="仿宋_GB2312"/>
                <w:color w:val="484848"/>
                <w:sz w:val="21"/>
                <w:szCs w:val="21"/>
                <w:u w:val="none"/>
                <w:bdr w:val="none" w:color="auto" w:sz="0" w:space="0"/>
              </w:rPr>
              <w:t>诊室、咨询室或通过其他途径的互动联系</w:t>
            </w:r>
          </w:p>
        </w:tc>
        <w:tc>
          <w:tcPr>
            <w:tcW w:w="133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color w:val="484848"/>
                <w:sz w:val="21"/>
                <w:szCs w:val="21"/>
                <w:u w:val="none"/>
              </w:rPr>
            </w:pPr>
            <w:r>
              <w:rPr>
                <w:rFonts w:hint="default" w:ascii="仿宋_GB2312" w:hAnsi="Calibri" w:eastAsia="仿宋_GB2312" w:cs="仿宋_GB2312"/>
                <w:color w:val="484848"/>
                <w:sz w:val="21"/>
                <w:szCs w:val="21"/>
                <w:u w:val="none"/>
                <w:bdr w:val="none" w:color="auto" w:sz="0" w:space="0"/>
              </w:rPr>
              <w:t>咨询指导</w:t>
            </w:r>
          </w:p>
        </w:tc>
        <w:tc>
          <w:tcPr>
            <w:tcW w:w="5714"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color w:val="484848"/>
                <w:sz w:val="21"/>
                <w:szCs w:val="21"/>
                <w:u w:val="none"/>
              </w:rPr>
            </w:pPr>
            <w:r>
              <w:rPr>
                <w:rFonts w:hint="default" w:ascii="仿宋_GB2312" w:hAnsi="Calibri" w:eastAsia="仿宋_GB2312" w:cs="仿宋_GB2312"/>
                <w:color w:val="484848"/>
                <w:sz w:val="21"/>
                <w:szCs w:val="21"/>
                <w:u w:val="none"/>
                <w:bdr w:val="none" w:color="auto" w:sz="0" w:space="0"/>
              </w:rPr>
              <w:t>鼓励返诊，了解避孕方法使用情况，对使用过程中发生的问题给予指导，鼓励坚持或转换高效和长效的避孕方法。重点针对存在重复人工流产高风险因素的人群、使用短效避孕方法、使用其他非高效避孕方法者。</w:t>
            </w:r>
          </w:p>
        </w:tc>
      </w:tr>
      <w:tr>
        <w:tblPrEx>
          <w:tblLayout w:type="fixed"/>
          <w:tblCellMar>
            <w:top w:w="0" w:type="dxa"/>
            <w:left w:w="0" w:type="dxa"/>
            <w:bottom w:w="0" w:type="dxa"/>
            <w:right w:w="0" w:type="dxa"/>
          </w:tblCellMar>
        </w:tblPrEx>
        <w:trPr>
          <w:jc w:val="center"/>
        </w:trPr>
        <w:tc>
          <w:tcPr>
            <w:tcW w:w="56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92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color w:val="484848"/>
                <w:sz w:val="21"/>
                <w:szCs w:val="21"/>
                <w:u w:val="none"/>
              </w:rPr>
            </w:pPr>
            <w:r>
              <w:rPr>
                <w:rFonts w:hint="default" w:ascii="仿宋_GB2312" w:hAnsi="Calibri" w:eastAsia="仿宋_GB2312" w:cs="仿宋_GB2312"/>
                <w:color w:val="484848"/>
                <w:spacing w:val="-20"/>
                <w:sz w:val="24"/>
                <w:szCs w:val="24"/>
                <w:u w:val="none"/>
                <w:bdr w:val="none" w:color="auto" w:sz="0" w:space="0"/>
              </w:rPr>
              <w:t>6个月、</w:t>
            </w:r>
            <w:r>
              <w:rPr>
                <w:rFonts w:hint="eastAsia" w:ascii="微软雅黑" w:hAnsi="微软雅黑" w:eastAsia="微软雅黑" w:cs="微软雅黑"/>
                <w:color w:val="484848"/>
                <w:spacing w:val="-20"/>
                <w:sz w:val="24"/>
                <w:szCs w:val="24"/>
                <w:u w:val="none"/>
                <w:bdr w:val="none" w:color="auto" w:sz="0" w:space="0"/>
              </w:rPr>
              <w:t>12</w:t>
            </w:r>
            <w:r>
              <w:rPr>
                <w:rFonts w:hint="default" w:ascii="仿宋_GB2312" w:hAnsi="Calibri" w:eastAsia="仿宋_GB2312" w:cs="仿宋_GB2312"/>
                <w:color w:val="484848"/>
                <w:spacing w:val="-20"/>
                <w:sz w:val="24"/>
                <w:szCs w:val="24"/>
                <w:u w:val="none"/>
                <w:bdr w:val="none" w:color="auto" w:sz="0" w:space="0"/>
              </w:rPr>
              <w:t>个月</w:t>
            </w:r>
          </w:p>
        </w:tc>
        <w:tc>
          <w:tcPr>
            <w:tcW w:w="148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color w:val="484848"/>
                <w:sz w:val="21"/>
                <w:szCs w:val="21"/>
                <w:u w:val="none"/>
              </w:rPr>
            </w:pPr>
            <w:r>
              <w:rPr>
                <w:rFonts w:hint="default" w:ascii="仿宋_GB2312" w:hAnsi="Calibri" w:eastAsia="仿宋_GB2312" w:cs="仿宋_GB2312"/>
                <w:color w:val="484848"/>
                <w:sz w:val="21"/>
                <w:szCs w:val="21"/>
                <w:u w:val="none"/>
                <w:bdr w:val="none" w:color="auto" w:sz="0" w:space="0"/>
              </w:rPr>
              <w:t>诊室、咨询室或通过其他途径的互动联系</w:t>
            </w:r>
          </w:p>
        </w:tc>
        <w:tc>
          <w:tcPr>
            <w:tcW w:w="133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color w:val="484848"/>
                <w:sz w:val="21"/>
                <w:szCs w:val="21"/>
                <w:u w:val="none"/>
              </w:rPr>
            </w:pPr>
            <w:r>
              <w:rPr>
                <w:rFonts w:hint="default" w:ascii="仿宋_GB2312" w:hAnsi="Calibri" w:eastAsia="仿宋_GB2312" w:cs="仿宋_GB2312"/>
                <w:color w:val="484848"/>
                <w:sz w:val="21"/>
                <w:szCs w:val="21"/>
                <w:u w:val="none"/>
                <w:bdr w:val="none" w:color="auto" w:sz="0" w:space="0"/>
              </w:rPr>
              <w:t>咨询指导</w:t>
            </w:r>
          </w:p>
        </w:tc>
        <w:tc>
          <w:tcPr>
            <w:tcW w:w="5714"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color w:val="484848"/>
                <w:sz w:val="21"/>
                <w:szCs w:val="21"/>
                <w:u w:val="none"/>
              </w:rPr>
            </w:pPr>
            <w:r>
              <w:rPr>
                <w:rFonts w:hint="default" w:ascii="仿宋_GB2312" w:hAnsi="Calibri" w:eastAsia="仿宋_GB2312" w:cs="仿宋_GB2312"/>
                <w:color w:val="484848"/>
                <w:sz w:val="21"/>
                <w:szCs w:val="21"/>
                <w:u w:val="none"/>
                <w:bdr w:val="none" w:color="auto" w:sz="0" w:space="0"/>
              </w:rPr>
              <w:t>有条件的机构，针对存在重复人工流产高风险因素的人群，鼓励返诊，了解其避孕方法使用情况，对使用过程中发生的问题给予指导，鼓励坚持或转换高效和长效的避孕方法。</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6F4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咔叽咔叽山</cp:lastModifiedBy>
  <dcterms:modified xsi:type="dcterms:W3CDTF">2019-02-12T01:58:44Z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